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29" w:type="dxa"/>
        <w:tblLook w:val="04A0" w:firstRow="1" w:lastRow="0" w:firstColumn="1" w:lastColumn="0" w:noHBand="0" w:noVBand="1"/>
      </w:tblPr>
      <w:tblGrid>
        <w:gridCol w:w="10229"/>
      </w:tblGrid>
      <w:tr w:rsidR="00EC6D74" w:rsidRPr="008F1266" w14:paraId="131316D6" w14:textId="77777777" w:rsidTr="00EC6D74">
        <w:trPr>
          <w:trHeight w:val="465"/>
        </w:trPr>
        <w:tc>
          <w:tcPr>
            <w:tcW w:w="10229" w:type="dxa"/>
            <w:tcBorders>
              <w:top w:val="nil"/>
              <w:left w:val="nil"/>
              <w:right w:val="nil"/>
            </w:tcBorders>
            <w:shd w:val="clear" w:color="auto" w:fill="352C61"/>
          </w:tcPr>
          <w:p w14:paraId="750D1CB4" w14:textId="39889CF5" w:rsidR="00EC6D74" w:rsidRPr="00EC6D74" w:rsidRDefault="00EC6D74" w:rsidP="00507762">
            <w:pPr>
              <w:jc w:val="center"/>
              <w:rPr>
                <w:b/>
                <w:color w:val="FFFFFF" w:themeColor="background1"/>
                <w:sz w:val="32"/>
                <w:szCs w:val="32"/>
                <w:lang w:val="fr-BE"/>
              </w:rPr>
            </w:pPr>
            <w:r w:rsidRPr="00EC6D74">
              <w:rPr>
                <w:b/>
                <w:color w:val="FFFFFF" w:themeColor="background1"/>
                <w:sz w:val="32"/>
                <w:szCs w:val="32"/>
                <w:lang w:val="fr-BE"/>
              </w:rPr>
              <w:t>Checklist - admissibilité codes de conduite nationaux et transnationaux</w:t>
            </w:r>
          </w:p>
        </w:tc>
      </w:tr>
      <w:tr w:rsidR="00EC6D74" w:rsidRPr="008F1266" w14:paraId="12A09336" w14:textId="77777777" w:rsidTr="00EC6D74">
        <w:trPr>
          <w:trHeight w:val="465"/>
        </w:trPr>
        <w:tc>
          <w:tcPr>
            <w:tcW w:w="10229" w:type="dxa"/>
            <w:shd w:val="clear" w:color="auto" w:fill="FFFFFF" w:themeFill="background1"/>
          </w:tcPr>
          <w:p w14:paraId="3DA589B4" w14:textId="7BE4E51A" w:rsidR="00EC6D74" w:rsidRPr="00EC6D74" w:rsidRDefault="00EC6D74" w:rsidP="00EC6D74">
            <w:pPr>
              <w:rPr>
                <w:b/>
                <w:color w:val="FFFFFF" w:themeColor="background1"/>
                <w:sz w:val="24"/>
                <w:szCs w:val="24"/>
                <w:lang w:val="fr-BE"/>
              </w:rPr>
            </w:pPr>
            <w:r w:rsidRPr="00EC6D74">
              <w:rPr>
                <w:b/>
                <w:color w:val="352C61"/>
                <w:sz w:val="24"/>
                <w:szCs w:val="24"/>
                <w:lang w:val="fr-BE"/>
              </w:rPr>
              <w:t xml:space="preserve">Nous vous recommandons de contacter l’APD pour toutes questions ou doutes éventuels sur votre projet de code avant de le soumettre officiellement. Une fois le code soumis, l’APD est formellement tenue de rendre un avis public positif ou négatif sur le code tel que vous l’avez introduit. Nous vous renvoyons également aux éléments d’informations disponibles sur notre bloc thématique « </w:t>
            </w:r>
            <w:hyperlink r:id="rId8" w:history="1">
              <w:r w:rsidRPr="003B593B">
                <w:rPr>
                  <w:rStyle w:val="Hyperlink"/>
                  <w:b/>
                  <w:color w:val="776ABB"/>
                  <w:sz w:val="24"/>
                  <w:szCs w:val="24"/>
                  <w:lang w:val="fr-BE"/>
                </w:rPr>
                <w:t>Code de conduite</w:t>
              </w:r>
            </w:hyperlink>
            <w:r w:rsidRPr="003B593B">
              <w:rPr>
                <w:b/>
                <w:color w:val="4E4387"/>
                <w:sz w:val="24"/>
                <w:szCs w:val="24"/>
                <w:lang w:val="fr-BE"/>
              </w:rPr>
              <w:t xml:space="preserve"> </w:t>
            </w:r>
            <w:r w:rsidRPr="00EC6D74">
              <w:rPr>
                <w:b/>
                <w:color w:val="352C61"/>
                <w:sz w:val="24"/>
                <w:szCs w:val="24"/>
                <w:lang w:val="fr-BE"/>
              </w:rPr>
              <w:t>».</w:t>
            </w:r>
          </w:p>
        </w:tc>
      </w:tr>
    </w:tbl>
    <w:p w14:paraId="030E9FDB" w14:textId="77777777" w:rsidR="00EC6D74" w:rsidRDefault="00EC6D74" w:rsidP="00655A5A">
      <w:pPr>
        <w:rPr>
          <w:b/>
          <w:sz w:val="24"/>
          <w:lang w:val="fr-BE"/>
        </w:rPr>
      </w:pPr>
    </w:p>
    <w:p w14:paraId="126B0DCC" w14:textId="77777777" w:rsidR="00655A5A" w:rsidRDefault="00655A5A" w:rsidP="00655A5A">
      <w:pPr>
        <w:rPr>
          <w:b/>
          <w:sz w:val="24"/>
          <w:lang w:val="fr-BE"/>
        </w:rPr>
      </w:pPr>
      <w:r>
        <w:rPr>
          <w:b/>
          <w:sz w:val="24"/>
          <w:lang w:val="fr-BE"/>
        </w:rPr>
        <w:t xml:space="preserve">Une checklist, pourquoi ? </w:t>
      </w:r>
    </w:p>
    <w:p w14:paraId="2FFD1391" w14:textId="01B80986" w:rsidR="00655A5A" w:rsidRPr="00655A5A" w:rsidRDefault="00655A5A" w:rsidP="007F1DC7">
      <w:pPr>
        <w:pStyle w:val="ListParagraph"/>
        <w:numPr>
          <w:ilvl w:val="0"/>
          <w:numId w:val="3"/>
        </w:numPr>
        <w:jc w:val="both"/>
        <w:rPr>
          <w:sz w:val="24"/>
          <w:lang w:val="fr-BE"/>
        </w:rPr>
      </w:pPr>
      <w:r w:rsidRPr="00655A5A">
        <w:rPr>
          <w:sz w:val="24"/>
          <w:lang w:val="fr-BE"/>
        </w:rPr>
        <w:t xml:space="preserve">S’assurer que le code de conduite remplit tous les critères requis pour gagner du temps et que l’APD puisse procéder à l’examen substantiel du code le plus rapidement possible. </w:t>
      </w:r>
      <w:r w:rsidR="0067259C">
        <w:rPr>
          <w:sz w:val="24"/>
          <w:lang w:val="fr-BE"/>
        </w:rPr>
        <w:t>Si votre code ne répond pas aux critères d’admissibilité, l’</w:t>
      </w:r>
      <w:r w:rsidR="009C5A19">
        <w:rPr>
          <w:sz w:val="24"/>
          <w:lang w:val="fr-BE"/>
        </w:rPr>
        <w:t>APD</w:t>
      </w:r>
      <w:r w:rsidR="0067259C">
        <w:rPr>
          <w:sz w:val="24"/>
          <w:lang w:val="fr-BE"/>
        </w:rPr>
        <w:t xml:space="preserve"> </w:t>
      </w:r>
      <w:r w:rsidR="00F104B4">
        <w:rPr>
          <w:sz w:val="24"/>
          <w:lang w:val="fr-BE"/>
        </w:rPr>
        <w:t>ne sera pas en mesure d’accepter</w:t>
      </w:r>
      <w:r w:rsidR="0067259C">
        <w:rPr>
          <w:sz w:val="24"/>
          <w:lang w:val="fr-BE"/>
        </w:rPr>
        <w:t xml:space="preserve"> </w:t>
      </w:r>
      <w:r w:rsidR="00F104B4">
        <w:rPr>
          <w:sz w:val="24"/>
          <w:lang w:val="fr-BE"/>
        </w:rPr>
        <w:t>le code</w:t>
      </w:r>
      <w:r w:rsidR="0067259C">
        <w:rPr>
          <w:sz w:val="24"/>
          <w:lang w:val="fr-BE"/>
        </w:rPr>
        <w:t xml:space="preserve"> et vous devrez réintroduire une nouvelle demande.</w:t>
      </w:r>
    </w:p>
    <w:tbl>
      <w:tblPr>
        <w:tblStyle w:val="TableGrid"/>
        <w:tblW w:w="10229" w:type="dxa"/>
        <w:tblLook w:val="04A0" w:firstRow="1" w:lastRow="0" w:firstColumn="1" w:lastColumn="0" w:noHBand="0" w:noVBand="1"/>
      </w:tblPr>
      <w:tblGrid>
        <w:gridCol w:w="7966"/>
        <w:gridCol w:w="1111"/>
        <w:gridCol w:w="1152"/>
      </w:tblGrid>
      <w:tr w:rsidR="009E422F" w:rsidRPr="00655A5A" w14:paraId="05FA107B" w14:textId="77777777" w:rsidTr="00EC6D74">
        <w:trPr>
          <w:trHeight w:val="465"/>
        </w:trPr>
        <w:tc>
          <w:tcPr>
            <w:tcW w:w="7966" w:type="dxa"/>
            <w:shd w:val="clear" w:color="auto" w:fill="4E4387"/>
          </w:tcPr>
          <w:p w14:paraId="1AE46DF5" w14:textId="77777777" w:rsidR="009E422F" w:rsidRPr="00EC6D74" w:rsidRDefault="009E422F" w:rsidP="00C11BF2">
            <w:pPr>
              <w:jc w:val="center"/>
              <w:rPr>
                <w:b/>
                <w:color w:val="FFFFFF" w:themeColor="background1"/>
                <w:sz w:val="32"/>
                <w:lang w:val="fr-BE"/>
              </w:rPr>
            </w:pPr>
            <w:r w:rsidRPr="00EC6D74">
              <w:rPr>
                <w:b/>
                <w:color w:val="FFFFFF" w:themeColor="background1"/>
                <w:sz w:val="32"/>
                <w:lang w:val="fr-BE"/>
              </w:rPr>
              <w:t>Critères d’admissibilité du code de conduite</w:t>
            </w:r>
          </w:p>
        </w:tc>
        <w:tc>
          <w:tcPr>
            <w:tcW w:w="1111" w:type="dxa"/>
            <w:shd w:val="clear" w:color="auto" w:fill="4E4387"/>
          </w:tcPr>
          <w:p w14:paraId="485B0008" w14:textId="77777777" w:rsidR="009E422F" w:rsidRPr="00EC6D74" w:rsidRDefault="009E422F" w:rsidP="00724088">
            <w:pPr>
              <w:jc w:val="center"/>
              <w:rPr>
                <w:b/>
                <w:color w:val="FFFFFF" w:themeColor="background1"/>
                <w:sz w:val="32"/>
                <w:szCs w:val="32"/>
                <w:lang w:val="fr-BE"/>
              </w:rPr>
            </w:pPr>
            <w:r w:rsidRPr="00EC6D74">
              <w:rPr>
                <w:b/>
                <w:color w:val="FFFFFF" w:themeColor="background1"/>
                <w:sz w:val="32"/>
                <w:szCs w:val="32"/>
                <w:lang w:val="fr-BE"/>
              </w:rPr>
              <w:t>OUI</w:t>
            </w:r>
          </w:p>
        </w:tc>
        <w:tc>
          <w:tcPr>
            <w:tcW w:w="1152" w:type="dxa"/>
            <w:shd w:val="clear" w:color="auto" w:fill="4E4387"/>
          </w:tcPr>
          <w:p w14:paraId="661D1D4D" w14:textId="77777777" w:rsidR="009E422F" w:rsidRPr="00EC6D74" w:rsidRDefault="009E422F" w:rsidP="00724088">
            <w:pPr>
              <w:jc w:val="center"/>
              <w:rPr>
                <w:b/>
                <w:color w:val="FFFFFF" w:themeColor="background1"/>
                <w:sz w:val="32"/>
                <w:szCs w:val="32"/>
                <w:lang w:val="fr-BE"/>
              </w:rPr>
            </w:pPr>
            <w:r w:rsidRPr="00EC6D74">
              <w:rPr>
                <w:b/>
                <w:color w:val="FFFFFF" w:themeColor="background1"/>
                <w:sz w:val="32"/>
                <w:szCs w:val="32"/>
                <w:lang w:val="fr-BE"/>
              </w:rPr>
              <w:t>NON</w:t>
            </w:r>
          </w:p>
        </w:tc>
      </w:tr>
      <w:tr w:rsidR="009E422F" w:rsidRPr="008F1266" w14:paraId="64B6C826" w14:textId="77777777" w:rsidTr="009E422F">
        <w:trPr>
          <w:trHeight w:val="764"/>
        </w:trPr>
        <w:tc>
          <w:tcPr>
            <w:tcW w:w="7966" w:type="dxa"/>
          </w:tcPr>
          <w:p w14:paraId="6556FBAC" w14:textId="77777777" w:rsidR="009E422F" w:rsidRPr="00300BD4" w:rsidRDefault="009E422F" w:rsidP="00587DC7">
            <w:pPr>
              <w:pStyle w:val="ListParagraph"/>
              <w:numPr>
                <w:ilvl w:val="0"/>
                <w:numId w:val="2"/>
              </w:numPr>
              <w:jc w:val="both"/>
              <w:rPr>
                <w:sz w:val="24"/>
                <w:lang w:val="fr-BE"/>
              </w:rPr>
            </w:pPr>
            <w:r w:rsidRPr="00300BD4">
              <w:rPr>
                <w:b/>
                <w:sz w:val="24"/>
                <w:lang w:val="fr-BE"/>
              </w:rPr>
              <w:t>Représentativité</w:t>
            </w:r>
            <w:r w:rsidRPr="00300BD4">
              <w:rPr>
                <w:sz w:val="24"/>
                <w:lang w:val="fr-BE"/>
              </w:rPr>
              <w:t xml:space="preserve">. L’association démontre qu’elle </w:t>
            </w:r>
            <w:r>
              <w:rPr>
                <w:sz w:val="24"/>
                <w:lang w:val="fr-BE"/>
              </w:rPr>
              <w:t xml:space="preserve">représente les responsables de traitement et/ou sous-traitants </w:t>
            </w:r>
            <w:r w:rsidRPr="00300BD4">
              <w:rPr>
                <w:sz w:val="24"/>
                <w:lang w:val="fr-BE"/>
              </w:rPr>
              <w:t>du secteur d’activité pour lequel le code de conduite est proposé (pourcentage de membres du secteur d’activité représentés, expérience</w:t>
            </w:r>
            <w:r w:rsidR="0067265B">
              <w:rPr>
                <w:sz w:val="24"/>
                <w:lang w:val="fr-BE"/>
              </w:rPr>
              <w:t xml:space="preserve"> dans le secteur</w:t>
            </w:r>
            <w:r w:rsidRPr="00300BD4">
              <w:rPr>
                <w:sz w:val="24"/>
                <w:lang w:val="fr-BE"/>
              </w:rPr>
              <w:t xml:space="preserve"> etc.) </w:t>
            </w:r>
          </w:p>
        </w:tc>
        <w:tc>
          <w:tcPr>
            <w:tcW w:w="1111" w:type="dxa"/>
          </w:tcPr>
          <w:p w14:paraId="5501F024" w14:textId="77777777" w:rsidR="009E422F" w:rsidRPr="00187DB6" w:rsidRDefault="009E422F" w:rsidP="00BB5D7B">
            <w:pPr>
              <w:jc w:val="both"/>
              <w:rPr>
                <w:sz w:val="24"/>
                <w:lang w:val="fr-BE"/>
              </w:rPr>
            </w:pPr>
          </w:p>
        </w:tc>
        <w:tc>
          <w:tcPr>
            <w:tcW w:w="1152" w:type="dxa"/>
          </w:tcPr>
          <w:p w14:paraId="46667C2E" w14:textId="77777777" w:rsidR="009E422F" w:rsidRPr="00187DB6" w:rsidRDefault="009E422F" w:rsidP="00BB5D7B">
            <w:pPr>
              <w:jc w:val="both"/>
              <w:rPr>
                <w:sz w:val="24"/>
                <w:lang w:val="fr-BE"/>
              </w:rPr>
            </w:pPr>
          </w:p>
        </w:tc>
      </w:tr>
      <w:tr w:rsidR="009E422F" w:rsidRPr="008F1266" w14:paraId="0B9A6FB4" w14:textId="77777777" w:rsidTr="009E422F">
        <w:trPr>
          <w:trHeight w:val="737"/>
        </w:trPr>
        <w:tc>
          <w:tcPr>
            <w:tcW w:w="7966" w:type="dxa"/>
          </w:tcPr>
          <w:p w14:paraId="53295908" w14:textId="77777777" w:rsidR="009E422F" w:rsidRPr="00300BD4" w:rsidRDefault="009E422F" w:rsidP="00300BD4">
            <w:pPr>
              <w:pStyle w:val="ListParagraph"/>
              <w:numPr>
                <w:ilvl w:val="0"/>
                <w:numId w:val="2"/>
              </w:numPr>
              <w:jc w:val="both"/>
              <w:rPr>
                <w:sz w:val="24"/>
                <w:lang w:val="fr-BE"/>
              </w:rPr>
            </w:pPr>
            <w:r w:rsidRPr="00300BD4">
              <w:rPr>
                <w:b/>
                <w:sz w:val="24"/>
                <w:lang w:val="fr-BE"/>
              </w:rPr>
              <w:t>Note introductive</w:t>
            </w:r>
            <w:r w:rsidRPr="00300BD4">
              <w:rPr>
                <w:sz w:val="24"/>
                <w:lang w:val="fr-BE"/>
              </w:rPr>
              <w:t>. Le code de conduite proposé contient une présentation claire et succincte portant sur :</w:t>
            </w:r>
          </w:p>
          <w:p w14:paraId="74497214" w14:textId="77777777" w:rsidR="009E422F" w:rsidRPr="00A33459" w:rsidRDefault="008F1266" w:rsidP="00A33459">
            <w:pPr>
              <w:jc w:val="both"/>
              <w:rPr>
                <w:sz w:val="24"/>
                <w:lang w:val="fr-BE"/>
              </w:rPr>
            </w:pPr>
            <w:r>
              <w:rPr>
                <w:sz w:val="24"/>
                <w:lang w:val="fr-BE"/>
              </w:rPr>
              <w:pict w14:anchorId="1920152A">
                <v:rect id="_x0000_i1025" style="width:0;height:1.5pt" o:hralign="center" o:hrstd="t" o:hr="t" fillcolor="#a0a0a0" stroked="f"/>
              </w:pict>
            </w:r>
          </w:p>
          <w:p w14:paraId="40AA51DE" w14:textId="77777777" w:rsidR="009E422F" w:rsidRDefault="009E422F" w:rsidP="00BB5D7B">
            <w:pPr>
              <w:pStyle w:val="ListParagraph"/>
              <w:numPr>
                <w:ilvl w:val="0"/>
                <w:numId w:val="1"/>
              </w:numPr>
              <w:jc w:val="both"/>
              <w:rPr>
                <w:sz w:val="24"/>
                <w:lang w:val="fr-BE"/>
              </w:rPr>
            </w:pPr>
            <w:r w:rsidRPr="00187DB6">
              <w:rPr>
                <w:sz w:val="24"/>
                <w:lang w:val="fr-BE"/>
              </w:rPr>
              <w:t xml:space="preserve">une  explication sur la </w:t>
            </w:r>
            <w:r w:rsidRPr="00835A55">
              <w:rPr>
                <w:b/>
                <w:sz w:val="24"/>
                <w:lang w:val="fr-BE"/>
              </w:rPr>
              <w:t>valeur ajoutée apportée par le code</w:t>
            </w:r>
            <w:r w:rsidRPr="00187DB6">
              <w:rPr>
                <w:sz w:val="24"/>
                <w:lang w:val="fr-BE"/>
              </w:rPr>
              <w:t xml:space="preserve"> </w:t>
            </w:r>
            <w:r w:rsidRPr="00465702">
              <w:rPr>
                <w:b/>
                <w:sz w:val="24"/>
                <w:lang w:val="fr-BE"/>
              </w:rPr>
              <w:t>de conduite</w:t>
            </w:r>
            <w:r w:rsidRPr="00300BD4">
              <w:rPr>
                <w:sz w:val="24"/>
                <w:lang w:val="fr-BE"/>
              </w:rPr>
              <w:t xml:space="preserve"> </w:t>
            </w:r>
            <w:r w:rsidRPr="00187DB6">
              <w:rPr>
                <w:sz w:val="24"/>
                <w:lang w:val="fr-BE"/>
              </w:rPr>
              <w:t xml:space="preserve">au RGPD  </w:t>
            </w:r>
          </w:p>
          <w:p w14:paraId="61137B00" w14:textId="77777777" w:rsidR="009E422F" w:rsidRPr="00A33459" w:rsidRDefault="008F1266" w:rsidP="00A33459">
            <w:pPr>
              <w:jc w:val="both"/>
              <w:rPr>
                <w:sz w:val="24"/>
                <w:lang w:val="fr-BE"/>
              </w:rPr>
            </w:pPr>
            <w:r>
              <w:rPr>
                <w:sz w:val="24"/>
                <w:lang w:val="fr-BE"/>
              </w:rPr>
              <w:pict w14:anchorId="7ED8B978">
                <v:rect id="_x0000_i1026" style="width:0;height:1.5pt" o:hralign="center" o:hrstd="t" o:hr="t" fillcolor="#a0a0a0" stroked="f"/>
              </w:pict>
            </w:r>
          </w:p>
          <w:p w14:paraId="4362A889" w14:textId="0C521C4B" w:rsidR="009E422F" w:rsidRDefault="009E422F" w:rsidP="00BB5D7B">
            <w:pPr>
              <w:pStyle w:val="ListParagraph"/>
              <w:numPr>
                <w:ilvl w:val="0"/>
                <w:numId w:val="1"/>
              </w:numPr>
              <w:jc w:val="both"/>
              <w:rPr>
                <w:sz w:val="24"/>
                <w:lang w:val="fr-BE"/>
              </w:rPr>
            </w:pPr>
            <w:r>
              <w:rPr>
                <w:sz w:val="24"/>
                <w:lang w:val="fr-BE"/>
              </w:rPr>
              <w:t xml:space="preserve">le </w:t>
            </w:r>
            <w:r w:rsidRPr="00835A55">
              <w:rPr>
                <w:b/>
                <w:sz w:val="24"/>
                <w:lang w:val="fr-BE"/>
              </w:rPr>
              <w:t>champ d’application matériel</w:t>
            </w:r>
            <w:r w:rsidRPr="00187DB6">
              <w:rPr>
                <w:sz w:val="24"/>
                <w:lang w:val="fr-BE"/>
              </w:rPr>
              <w:t xml:space="preserve"> du code</w:t>
            </w:r>
            <w:r w:rsidRPr="00300BD4">
              <w:rPr>
                <w:sz w:val="24"/>
                <w:lang w:val="fr-BE"/>
              </w:rPr>
              <w:t xml:space="preserve"> de conduite</w:t>
            </w:r>
            <w:r>
              <w:rPr>
                <w:sz w:val="24"/>
                <w:lang w:val="fr-BE"/>
              </w:rPr>
              <w:t xml:space="preserve"> : </w:t>
            </w:r>
          </w:p>
          <w:p w14:paraId="6200ED1C" w14:textId="55C0F37E" w:rsidR="007F1DC7" w:rsidRPr="00187DB6" w:rsidRDefault="007F1DC7" w:rsidP="007F1DC7">
            <w:pPr>
              <w:pStyle w:val="ListParagraph"/>
              <w:numPr>
                <w:ilvl w:val="1"/>
                <w:numId w:val="1"/>
              </w:numPr>
              <w:jc w:val="both"/>
              <w:rPr>
                <w:sz w:val="24"/>
                <w:lang w:val="fr-BE"/>
              </w:rPr>
            </w:pPr>
            <w:r>
              <w:rPr>
                <w:sz w:val="24"/>
                <w:lang w:val="fr-BE"/>
              </w:rPr>
              <w:t>u</w:t>
            </w:r>
            <w:r w:rsidRPr="007F1DC7">
              <w:rPr>
                <w:sz w:val="24"/>
                <w:lang w:val="fr-BE"/>
              </w:rPr>
              <w:t>ne explication claire et concise du secteur d’activité</w:t>
            </w:r>
            <w:r>
              <w:rPr>
                <w:sz w:val="24"/>
                <w:lang w:val="fr-BE"/>
              </w:rPr>
              <w:t> ;</w:t>
            </w:r>
          </w:p>
          <w:p w14:paraId="3AE85B13" w14:textId="76C0ECAA" w:rsidR="009E422F" w:rsidRPr="00187DB6" w:rsidRDefault="009E422F" w:rsidP="00BB5D7B">
            <w:pPr>
              <w:pStyle w:val="ListParagraph"/>
              <w:numPr>
                <w:ilvl w:val="1"/>
                <w:numId w:val="1"/>
              </w:numPr>
              <w:jc w:val="both"/>
              <w:rPr>
                <w:sz w:val="24"/>
                <w:lang w:val="fr-BE"/>
              </w:rPr>
            </w:pPr>
            <w:r>
              <w:rPr>
                <w:sz w:val="24"/>
                <w:lang w:val="fr-BE"/>
              </w:rPr>
              <w:t xml:space="preserve">qui sont les </w:t>
            </w:r>
            <w:r w:rsidRPr="00187DB6">
              <w:rPr>
                <w:sz w:val="24"/>
                <w:lang w:val="fr-BE"/>
              </w:rPr>
              <w:t>membres</w:t>
            </w:r>
            <w:r>
              <w:rPr>
                <w:sz w:val="24"/>
                <w:lang w:val="fr-BE"/>
              </w:rPr>
              <w:t xml:space="preserve"> du code</w:t>
            </w:r>
            <w:r w:rsidR="007F1DC7">
              <w:rPr>
                <w:sz w:val="24"/>
                <w:lang w:val="fr-BE"/>
              </w:rPr>
              <w:t xml:space="preserve"> et est-ce qu’ils agissent en qualité de responsable de traitement ou sous-traitant</w:t>
            </w:r>
            <w:r w:rsidRPr="00187DB6">
              <w:rPr>
                <w:sz w:val="24"/>
                <w:lang w:val="fr-BE"/>
              </w:rPr>
              <w:t> ;</w:t>
            </w:r>
          </w:p>
          <w:p w14:paraId="7EFAB06E" w14:textId="77777777" w:rsidR="009E422F" w:rsidRPr="00187DB6" w:rsidRDefault="009E422F" w:rsidP="00BB5D7B">
            <w:pPr>
              <w:pStyle w:val="ListParagraph"/>
              <w:numPr>
                <w:ilvl w:val="1"/>
                <w:numId w:val="1"/>
              </w:numPr>
              <w:jc w:val="both"/>
              <w:rPr>
                <w:sz w:val="24"/>
                <w:lang w:val="fr-BE"/>
              </w:rPr>
            </w:pPr>
            <w:r>
              <w:rPr>
                <w:sz w:val="24"/>
                <w:lang w:val="fr-BE"/>
              </w:rPr>
              <w:t>quels sont les traitements concerné</w:t>
            </w:r>
            <w:r w:rsidRPr="00187DB6">
              <w:rPr>
                <w:sz w:val="24"/>
                <w:lang w:val="fr-BE"/>
              </w:rPr>
              <w:t>s</w:t>
            </w:r>
            <w:r>
              <w:rPr>
                <w:sz w:val="24"/>
                <w:lang w:val="fr-BE"/>
              </w:rPr>
              <w:t xml:space="preserve"> par le code</w:t>
            </w:r>
            <w:r w:rsidRPr="00187DB6">
              <w:rPr>
                <w:sz w:val="24"/>
                <w:lang w:val="fr-BE"/>
              </w:rPr>
              <w:t> ;</w:t>
            </w:r>
          </w:p>
          <w:p w14:paraId="724F6591" w14:textId="62442AF2" w:rsidR="009E422F" w:rsidRPr="00187DB6" w:rsidRDefault="009E422F" w:rsidP="00BB5D7B">
            <w:pPr>
              <w:pStyle w:val="ListParagraph"/>
              <w:numPr>
                <w:ilvl w:val="1"/>
                <w:numId w:val="1"/>
              </w:numPr>
              <w:jc w:val="both"/>
              <w:rPr>
                <w:sz w:val="24"/>
                <w:lang w:val="fr-BE"/>
              </w:rPr>
            </w:pPr>
            <w:r>
              <w:rPr>
                <w:sz w:val="24"/>
                <w:lang w:val="fr-BE"/>
              </w:rPr>
              <w:t xml:space="preserve">qui sont les </w:t>
            </w:r>
            <w:r w:rsidRPr="00187DB6">
              <w:rPr>
                <w:sz w:val="24"/>
                <w:lang w:val="fr-BE"/>
              </w:rPr>
              <w:t>personnes</w:t>
            </w:r>
            <w:r w:rsidR="007F1DC7">
              <w:rPr>
                <w:sz w:val="24"/>
                <w:lang w:val="fr-BE"/>
              </w:rPr>
              <w:t xml:space="preserve"> concernées</w:t>
            </w:r>
            <w:r w:rsidRPr="00187DB6">
              <w:rPr>
                <w:sz w:val="24"/>
                <w:lang w:val="fr-BE"/>
              </w:rPr>
              <w:t xml:space="preserve"> </w:t>
            </w:r>
            <w:r>
              <w:rPr>
                <w:sz w:val="24"/>
                <w:lang w:val="fr-BE"/>
              </w:rPr>
              <w:t>susceptible d’être affectées par le code de conduite  (exemple : employés, enfants etc.)</w:t>
            </w:r>
            <w:r w:rsidRPr="00187DB6">
              <w:rPr>
                <w:sz w:val="24"/>
                <w:lang w:val="fr-BE"/>
              </w:rPr>
              <w:t> ;</w:t>
            </w:r>
          </w:p>
          <w:p w14:paraId="6AF86462" w14:textId="77777777" w:rsidR="009E422F" w:rsidRDefault="009E422F" w:rsidP="00BB5D7B">
            <w:pPr>
              <w:pStyle w:val="ListParagraph"/>
              <w:numPr>
                <w:ilvl w:val="1"/>
                <w:numId w:val="1"/>
              </w:numPr>
              <w:jc w:val="both"/>
              <w:rPr>
                <w:sz w:val="24"/>
                <w:lang w:val="fr-BE"/>
              </w:rPr>
            </w:pPr>
            <w:r>
              <w:rPr>
                <w:sz w:val="24"/>
                <w:lang w:val="fr-BE"/>
              </w:rPr>
              <w:t xml:space="preserve">quelles sont les </w:t>
            </w:r>
            <w:r w:rsidRPr="00187DB6">
              <w:rPr>
                <w:sz w:val="24"/>
                <w:lang w:val="fr-BE"/>
              </w:rPr>
              <w:t>catégories de données </w:t>
            </w:r>
            <w:r>
              <w:rPr>
                <w:sz w:val="24"/>
                <w:lang w:val="fr-BE"/>
              </w:rPr>
              <w:t xml:space="preserve">(exemple : catégories spéciales, données ressources humaines etc..) </w:t>
            </w:r>
          </w:p>
          <w:p w14:paraId="562FF56B" w14:textId="77777777" w:rsidR="009E422F" w:rsidRPr="00A33459" w:rsidRDefault="008F1266" w:rsidP="00A33459">
            <w:pPr>
              <w:jc w:val="both"/>
              <w:rPr>
                <w:sz w:val="24"/>
                <w:lang w:val="fr-BE"/>
              </w:rPr>
            </w:pPr>
            <w:r>
              <w:rPr>
                <w:sz w:val="24"/>
                <w:lang w:val="fr-BE"/>
              </w:rPr>
              <w:pict w14:anchorId="5B50248B">
                <v:rect id="_x0000_i1027" style="width:0;height:1.5pt" o:hralign="center" o:hrstd="t" o:hr="t" fillcolor="#a0a0a0" stroked="f"/>
              </w:pict>
            </w:r>
          </w:p>
          <w:p w14:paraId="08E6E06B" w14:textId="77777777" w:rsidR="009E422F" w:rsidRPr="00187DB6" w:rsidRDefault="009E422F" w:rsidP="00BB5D7B">
            <w:pPr>
              <w:pStyle w:val="ListParagraph"/>
              <w:numPr>
                <w:ilvl w:val="0"/>
                <w:numId w:val="1"/>
              </w:numPr>
              <w:jc w:val="both"/>
              <w:rPr>
                <w:sz w:val="24"/>
                <w:lang w:val="fr-BE"/>
              </w:rPr>
            </w:pPr>
            <w:r>
              <w:rPr>
                <w:sz w:val="24"/>
                <w:lang w:val="fr-BE"/>
              </w:rPr>
              <w:t xml:space="preserve">le </w:t>
            </w:r>
            <w:r w:rsidRPr="00835A55">
              <w:rPr>
                <w:b/>
                <w:sz w:val="24"/>
                <w:lang w:val="fr-BE"/>
              </w:rPr>
              <w:t>champs d’application territorial</w:t>
            </w:r>
            <w:r>
              <w:rPr>
                <w:sz w:val="24"/>
                <w:lang w:val="fr-BE"/>
              </w:rPr>
              <w:t xml:space="preserve"> du code</w:t>
            </w:r>
            <w:r w:rsidRPr="00300BD4">
              <w:rPr>
                <w:sz w:val="24"/>
                <w:lang w:val="fr-BE"/>
              </w:rPr>
              <w:t xml:space="preserve"> de conduite</w:t>
            </w:r>
            <w:r>
              <w:rPr>
                <w:sz w:val="24"/>
                <w:lang w:val="fr-BE"/>
              </w:rPr>
              <w:t xml:space="preserve"> : </w:t>
            </w:r>
          </w:p>
          <w:p w14:paraId="1C3C147B" w14:textId="1E7856F7" w:rsidR="009E422F" w:rsidRDefault="009E422F" w:rsidP="00BB5D7B">
            <w:pPr>
              <w:pStyle w:val="ListParagraph"/>
              <w:numPr>
                <w:ilvl w:val="1"/>
                <w:numId w:val="1"/>
              </w:numPr>
              <w:jc w:val="both"/>
              <w:rPr>
                <w:sz w:val="24"/>
                <w:lang w:val="fr-BE"/>
              </w:rPr>
            </w:pPr>
            <w:r w:rsidRPr="00187DB6">
              <w:rPr>
                <w:sz w:val="24"/>
                <w:lang w:val="fr-BE"/>
              </w:rPr>
              <w:t>Le code</w:t>
            </w:r>
            <w:r w:rsidRPr="00300BD4">
              <w:rPr>
                <w:sz w:val="24"/>
                <w:lang w:val="fr-BE"/>
              </w:rPr>
              <w:t xml:space="preserve"> de conduite</w:t>
            </w:r>
            <w:r w:rsidRPr="00187DB6">
              <w:rPr>
                <w:sz w:val="24"/>
                <w:lang w:val="fr-BE"/>
              </w:rPr>
              <w:t xml:space="preserve"> est-il national ou transnational (voir </w:t>
            </w:r>
            <w:r>
              <w:rPr>
                <w:sz w:val="24"/>
                <w:lang w:val="fr-BE"/>
              </w:rPr>
              <w:t>l’a</w:t>
            </w:r>
            <w:r w:rsidRPr="00187DB6">
              <w:rPr>
                <w:sz w:val="24"/>
                <w:lang w:val="fr-BE"/>
              </w:rPr>
              <w:t>nnex</w:t>
            </w:r>
            <w:r>
              <w:rPr>
                <w:sz w:val="24"/>
                <w:lang w:val="fr-BE"/>
              </w:rPr>
              <w:t>e</w:t>
            </w:r>
            <w:r w:rsidRPr="00187DB6">
              <w:rPr>
                <w:sz w:val="24"/>
                <w:lang w:val="fr-BE"/>
              </w:rPr>
              <w:t xml:space="preserve"> </w:t>
            </w:r>
            <w:r>
              <w:rPr>
                <w:sz w:val="24"/>
                <w:lang w:val="fr-BE"/>
              </w:rPr>
              <w:t>n°</w:t>
            </w:r>
            <w:r w:rsidRPr="00187DB6">
              <w:rPr>
                <w:sz w:val="24"/>
                <w:lang w:val="fr-BE"/>
              </w:rPr>
              <w:t xml:space="preserve">1 </w:t>
            </w:r>
            <w:r>
              <w:rPr>
                <w:sz w:val="24"/>
                <w:lang w:val="fr-BE"/>
              </w:rPr>
              <w:t>des</w:t>
            </w:r>
            <w:r w:rsidRPr="008F1266">
              <w:rPr>
                <w:color w:val="776ABB"/>
                <w:sz w:val="24"/>
                <w:lang w:val="fr-BE"/>
              </w:rPr>
              <w:t xml:space="preserve"> </w:t>
            </w:r>
            <w:hyperlink r:id="rId9" w:history="1">
              <w:r w:rsidRPr="008F1266">
                <w:rPr>
                  <w:rStyle w:val="Hyperlink"/>
                  <w:color w:val="776ABB"/>
                  <w:sz w:val="24"/>
                  <w:lang w:val="fr-BE"/>
                </w:rPr>
                <w:t>lignes directrices n°01/2019</w:t>
              </w:r>
            </w:hyperlink>
            <w:r w:rsidRPr="00187DB6">
              <w:rPr>
                <w:sz w:val="24"/>
                <w:lang w:val="fr-BE"/>
              </w:rPr>
              <w:t xml:space="preserve">). </w:t>
            </w:r>
          </w:p>
          <w:p w14:paraId="47EA8195" w14:textId="1B9A1220" w:rsidR="009E422F" w:rsidRDefault="009E422F" w:rsidP="002D49B3">
            <w:pPr>
              <w:pStyle w:val="ListParagraph"/>
              <w:numPr>
                <w:ilvl w:val="2"/>
                <w:numId w:val="1"/>
              </w:numPr>
              <w:jc w:val="both"/>
              <w:rPr>
                <w:sz w:val="24"/>
                <w:lang w:val="fr-BE"/>
              </w:rPr>
            </w:pPr>
            <w:r>
              <w:rPr>
                <w:b/>
                <w:sz w:val="24"/>
                <w:lang w:val="fr-BE"/>
              </w:rPr>
              <w:t>Uniquement s</w:t>
            </w:r>
            <w:r w:rsidRPr="00835A55">
              <w:rPr>
                <w:b/>
                <w:sz w:val="24"/>
                <w:lang w:val="fr-BE"/>
              </w:rPr>
              <w:t xml:space="preserve">i le code </w:t>
            </w:r>
            <w:r w:rsidRPr="00465702">
              <w:rPr>
                <w:b/>
                <w:sz w:val="24"/>
                <w:lang w:val="fr-BE"/>
              </w:rPr>
              <w:t>de conduite</w:t>
            </w:r>
            <w:r w:rsidRPr="00300BD4">
              <w:rPr>
                <w:sz w:val="24"/>
                <w:lang w:val="fr-BE"/>
              </w:rPr>
              <w:t xml:space="preserve"> </w:t>
            </w:r>
            <w:r w:rsidRPr="00835A55">
              <w:rPr>
                <w:b/>
                <w:sz w:val="24"/>
                <w:lang w:val="fr-BE"/>
              </w:rPr>
              <w:t>est transnational</w:t>
            </w:r>
            <w:r w:rsidR="00577421">
              <w:rPr>
                <w:b/>
                <w:sz w:val="24"/>
                <w:lang w:val="fr-BE"/>
              </w:rPr>
              <w:t> </w:t>
            </w:r>
            <w:r w:rsidR="00577421">
              <w:rPr>
                <w:sz w:val="24"/>
                <w:lang w:val="fr-BE"/>
              </w:rPr>
              <w:t>:</w:t>
            </w:r>
          </w:p>
          <w:p w14:paraId="0A7A153D" w14:textId="77777777" w:rsidR="009E422F" w:rsidRDefault="009E422F" w:rsidP="001D3D75">
            <w:pPr>
              <w:pStyle w:val="ListParagraph"/>
              <w:numPr>
                <w:ilvl w:val="3"/>
                <w:numId w:val="1"/>
              </w:numPr>
              <w:jc w:val="both"/>
              <w:rPr>
                <w:sz w:val="24"/>
                <w:lang w:val="fr-BE"/>
              </w:rPr>
            </w:pPr>
            <w:r w:rsidRPr="00187DB6">
              <w:rPr>
                <w:sz w:val="24"/>
                <w:lang w:val="fr-BE"/>
              </w:rPr>
              <w:t xml:space="preserve">quelles sont les autorité de protection des données concernées ?  </w:t>
            </w:r>
          </w:p>
          <w:p w14:paraId="088D6C0D" w14:textId="78C3EA51" w:rsidR="009E422F" w:rsidRDefault="009E422F" w:rsidP="001D3D75">
            <w:pPr>
              <w:pStyle w:val="ListParagraph"/>
              <w:numPr>
                <w:ilvl w:val="3"/>
                <w:numId w:val="1"/>
              </w:numPr>
              <w:jc w:val="both"/>
              <w:rPr>
                <w:sz w:val="24"/>
                <w:lang w:val="fr-BE"/>
              </w:rPr>
            </w:pPr>
            <w:r w:rsidRPr="001D3D75">
              <w:rPr>
                <w:sz w:val="24"/>
                <w:lang w:val="fr-BE"/>
              </w:rPr>
              <w:t xml:space="preserve">L’association a joint  la </w:t>
            </w:r>
            <w:r w:rsidRPr="001D3D75">
              <w:rPr>
                <w:b/>
                <w:sz w:val="24"/>
                <w:lang w:val="fr-BE"/>
              </w:rPr>
              <w:t xml:space="preserve">justification </w:t>
            </w:r>
            <w:r w:rsidRPr="001D3D75">
              <w:rPr>
                <w:sz w:val="24"/>
                <w:lang w:val="fr-BE"/>
              </w:rPr>
              <w:t xml:space="preserve">qui selon les critères listés à l’annexe n°2 des </w:t>
            </w:r>
            <w:bookmarkStart w:id="0" w:name="_GoBack"/>
            <w:r w:rsidR="008F1266" w:rsidRPr="008F1266">
              <w:rPr>
                <w:rStyle w:val="Hyperlink"/>
                <w:color w:val="776ABB"/>
                <w:sz w:val="24"/>
                <w:lang w:val="fr-BE"/>
              </w:rPr>
              <w:fldChar w:fldCharType="begin"/>
            </w:r>
            <w:r w:rsidR="008F1266" w:rsidRPr="008F1266">
              <w:rPr>
                <w:rStyle w:val="Hyperlink"/>
                <w:color w:val="776ABB"/>
                <w:sz w:val="24"/>
                <w:lang w:val="fr-BE"/>
              </w:rPr>
              <w:instrText xml:space="preserve"> HYPERLINK "https://edpb.europa.eu/sites/edpb/files/files/file1/edpb_guidelines_201901_v2.0_c</w:instrText>
            </w:r>
            <w:r w:rsidR="008F1266" w:rsidRPr="008F1266">
              <w:rPr>
                <w:rStyle w:val="Hyperlink"/>
                <w:color w:val="776ABB"/>
                <w:sz w:val="24"/>
                <w:lang w:val="fr-BE"/>
              </w:rPr>
              <w:instrText xml:space="preserve">odesofconduct_fr.pdf" </w:instrText>
            </w:r>
            <w:r w:rsidR="008F1266" w:rsidRPr="008F1266">
              <w:rPr>
                <w:rStyle w:val="Hyperlink"/>
                <w:color w:val="776ABB"/>
                <w:sz w:val="24"/>
                <w:lang w:val="fr-BE"/>
              </w:rPr>
              <w:fldChar w:fldCharType="separate"/>
            </w:r>
            <w:r w:rsidRPr="008F1266">
              <w:rPr>
                <w:rStyle w:val="Hyperlink"/>
                <w:color w:val="776ABB"/>
                <w:sz w:val="24"/>
                <w:lang w:val="fr-BE"/>
              </w:rPr>
              <w:t>lignes directrices n°01/2019</w:t>
            </w:r>
            <w:r w:rsidR="008F1266" w:rsidRPr="008F1266">
              <w:rPr>
                <w:rStyle w:val="Hyperlink"/>
                <w:color w:val="776ABB"/>
                <w:sz w:val="24"/>
                <w:lang w:val="fr-BE"/>
              </w:rPr>
              <w:fldChar w:fldCharType="end"/>
            </w:r>
            <w:bookmarkEnd w:id="0"/>
            <w:r w:rsidRPr="001D3D75">
              <w:rPr>
                <w:sz w:val="24"/>
                <w:lang w:val="fr-BE"/>
              </w:rPr>
              <w:t xml:space="preserve"> désigne </w:t>
            </w:r>
            <w:r w:rsidRPr="001D3D75">
              <w:rPr>
                <w:b/>
                <w:sz w:val="24"/>
                <w:lang w:val="fr-BE"/>
              </w:rPr>
              <w:t>l’</w:t>
            </w:r>
            <w:r w:rsidR="009C5A19">
              <w:rPr>
                <w:b/>
                <w:sz w:val="24"/>
                <w:lang w:val="fr-BE"/>
              </w:rPr>
              <w:t>APD</w:t>
            </w:r>
            <w:r w:rsidRPr="001D3D75">
              <w:rPr>
                <w:b/>
                <w:sz w:val="24"/>
                <w:lang w:val="fr-BE"/>
              </w:rPr>
              <w:t xml:space="preserve"> comme autorité compétente</w:t>
            </w:r>
            <w:r w:rsidRPr="001D3D75">
              <w:rPr>
                <w:sz w:val="24"/>
                <w:lang w:val="fr-BE"/>
              </w:rPr>
              <w:t xml:space="preserve"> pour examiner le code de conduite.</w:t>
            </w:r>
          </w:p>
          <w:p w14:paraId="51601E39" w14:textId="1555F2D2" w:rsidR="00E12285" w:rsidRPr="001D3D75" w:rsidRDefault="009F51D7" w:rsidP="0046367A">
            <w:pPr>
              <w:pStyle w:val="ListParagraph"/>
              <w:numPr>
                <w:ilvl w:val="3"/>
                <w:numId w:val="1"/>
              </w:numPr>
              <w:jc w:val="both"/>
              <w:rPr>
                <w:sz w:val="24"/>
                <w:lang w:val="fr-BE"/>
              </w:rPr>
            </w:pPr>
            <w:r>
              <w:rPr>
                <w:sz w:val="24"/>
                <w:lang w:val="fr-BE"/>
              </w:rPr>
              <w:t>Une version du code en anglais</w:t>
            </w:r>
            <w:r w:rsidR="002808DD">
              <w:rPr>
                <w:sz w:val="24"/>
                <w:lang w:val="fr-BE"/>
              </w:rPr>
              <w:t xml:space="preserve"> </w:t>
            </w:r>
          </w:p>
        </w:tc>
        <w:tc>
          <w:tcPr>
            <w:tcW w:w="1111" w:type="dxa"/>
          </w:tcPr>
          <w:p w14:paraId="6F744CB7" w14:textId="77777777" w:rsidR="009E422F" w:rsidRPr="00187DB6" w:rsidRDefault="009E422F" w:rsidP="00BB5D7B">
            <w:pPr>
              <w:jc w:val="both"/>
              <w:rPr>
                <w:sz w:val="24"/>
                <w:lang w:val="fr-BE"/>
              </w:rPr>
            </w:pPr>
          </w:p>
        </w:tc>
        <w:tc>
          <w:tcPr>
            <w:tcW w:w="1152" w:type="dxa"/>
          </w:tcPr>
          <w:p w14:paraId="5BB00AC8" w14:textId="77777777" w:rsidR="009E422F" w:rsidRPr="00187DB6" w:rsidRDefault="009E422F" w:rsidP="00BB5D7B">
            <w:pPr>
              <w:jc w:val="both"/>
              <w:rPr>
                <w:sz w:val="24"/>
                <w:lang w:val="fr-BE"/>
              </w:rPr>
            </w:pPr>
          </w:p>
        </w:tc>
      </w:tr>
      <w:tr w:rsidR="009E422F" w:rsidRPr="008F1266" w14:paraId="4D76ABC4" w14:textId="77777777" w:rsidTr="009E422F">
        <w:trPr>
          <w:trHeight w:val="737"/>
        </w:trPr>
        <w:tc>
          <w:tcPr>
            <w:tcW w:w="7966" w:type="dxa"/>
          </w:tcPr>
          <w:p w14:paraId="3EBC0616" w14:textId="1FAF3BEA" w:rsidR="00040589" w:rsidRPr="009C5A19" w:rsidRDefault="00FF70F8" w:rsidP="0090254D">
            <w:pPr>
              <w:jc w:val="both"/>
              <w:rPr>
                <w:rFonts w:cstheme="minorHAnsi"/>
                <w:szCs w:val="20"/>
                <w:lang w:val="fr-BE"/>
              </w:rPr>
            </w:pPr>
            <w:r>
              <w:rPr>
                <w:b/>
                <w:sz w:val="24"/>
                <w:lang w:val="fr-BE"/>
              </w:rPr>
              <w:lastRenderedPageBreak/>
              <w:t xml:space="preserve">3. </w:t>
            </w:r>
            <w:r w:rsidR="009E422F">
              <w:rPr>
                <w:b/>
                <w:sz w:val="24"/>
                <w:lang w:val="fr-BE"/>
              </w:rPr>
              <w:t>Organ</w:t>
            </w:r>
            <w:r w:rsidR="00F02514">
              <w:rPr>
                <w:b/>
                <w:sz w:val="24"/>
                <w:lang w:val="fr-BE"/>
              </w:rPr>
              <w:t>isme</w:t>
            </w:r>
            <w:r w:rsidR="009E422F" w:rsidRPr="00300BD4">
              <w:rPr>
                <w:b/>
                <w:sz w:val="24"/>
                <w:lang w:val="fr-BE"/>
              </w:rPr>
              <w:t xml:space="preserve"> de </w:t>
            </w:r>
            <w:r w:rsidR="009E422F">
              <w:rPr>
                <w:b/>
                <w:sz w:val="24"/>
                <w:lang w:val="fr-BE"/>
              </w:rPr>
              <w:t>supervision</w:t>
            </w:r>
            <w:r w:rsidR="009E422F" w:rsidRPr="00300BD4">
              <w:rPr>
                <w:b/>
                <w:sz w:val="24"/>
                <w:lang w:val="fr-BE"/>
              </w:rPr>
              <w:t xml:space="preserve"> accrédité</w:t>
            </w:r>
            <w:r w:rsidR="009E422F">
              <w:rPr>
                <w:sz w:val="24"/>
                <w:lang w:val="fr-BE"/>
              </w:rPr>
              <w:t xml:space="preserve">. </w:t>
            </w:r>
            <w:r w:rsidR="009E422F" w:rsidRPr="00300BD4">
              <w:rPr>
                <w:sz w:val="24"/>
                <w:lang w:val="fr-BE"/>
              </w:rPr>
              <w:t xml:space="preserve">Le code de conduite </w:t>
            </w:r>
            <w:r w:rsidR="009E422F">
              <w:rPr>
                <w:sz w:val="24"/>
                <w:lang w:val="fr-BE"/>
              </w:rPr>
              <w:t>désigne</w:t>
            </w:r>
            <w:r w:rsidR="009E422F" w:rsidRPr="00300BD4">
              <w:rPr>
                <w:sz w:val="24"/>
                <w:lang w:val="fr-BE"/>
              </w:rPr>
              <w:t xml:space="preserve"> </w:t>
            </w:r>
            <w:r w:rsidR="009E422F">
              <w:rPr>
                <w:b/>
                <w:sz w:val="24"/>
                <w:lang w:val="fr-BE"/>
              </w:rPr>
              <w:t>l’organ</w:t>
            </w:r>
            <w:r w:rsidR="00F02514">
              <w:rPr>
                <w:b/>
                <w:sz w:val="24"/>
                <w:lang w:val="fr-BE"/>
              </w:rPr>
              <w:t>isme</w:t>
            </w:r>
            <w:r w:rsidR="009E422F">
              <w:rPr>
                <w:b/>
                <w:sz w:val="24"/>
                <w:lang w:val="fr-BE"/>
              </w:rPr>
              <w:t xml:space="preserve"> </w:t>
            </w:r>
            <w:r w:rsidR="009E422F" w:rsidRPr="00300BD4">
              <w:rPr>
                <w:b/>
                <w:sz w:val="24"/>
                <w:lang w:val="fr-BE"/>
              </w:rPr>
              <w:t>accrédité</w:t>
            </w:r>
            <w:r w:rsidR="00F104B4">
              <w:rPr>
                <w:b/>
                <w:sz w:val="24"/>
                <w:lang w:val="fr-BE"/>
              </w:rPr>
              <w:t xml:space="preserve"> (interne ou externe)</w:t>
            </w:r>
            <w:r w:rsidR="009E422F" w:rsidRPr="00300BD4">
              <w:rPr>
                <w:sz w:val="24"/>
                <w:lang w:val="fr-BE"/>
              </w:rPr>
              <w:t xml:space="preserve"> qui le supervisera</w:t>
            </w:r>
            <w:r w:rsidR="007D3AE3">
              <w:rPr>
                <w:sz w:val="24"/>
                <w:lang w:val="fr-BE"/>
              </w:rPr>
              <w:t xml:space="preserve">. </w:t>
            </w:r>
            <w:r w:rsidR="002D2E30" w:rsidRPr="009C5A19">
              <w:rPr>
                <w:sz w:val="24"/>
                <w:szCs w:val="24"/>
                <w:lang w:val="fr-FR"/>
              </w:rPr>
              <w:t xml:space="preserve">La </w:t>
            </w:r>
            <w:hyperlink r:id="rId10" w:history="1">
              <w:r w:rsidR="002D2E30" w:rsidRPr="003B593B">
                <w:rPr>
                  <w:rStyle w:val="Hyperlink"/>
                  <w:color w:val="776ABB"/>
                  <w:sz w:val="24"/>
                  <w:szCs w:val="24"/>
                  <w:lang w:val="fr-FR"/>
                </w:rPr>
                <w:t>demande d’accréditation</w:t>
              </w:r>
            </w:hyperlink>
            <w:r w:rsidR="002D2E30" w:rsidRPr="009C5A19">
              <w:rPr>
                <w:sz w:val="24"/>
                <w:szCs w:val="24"/>
                <w:lang w:val="fr-FR"/>
              </w:rPr>
              <w:t xml:space="preserve"> doit intervenir au moment de la soumission du proje</w:t>
            </w:r>
            <w:r w:rsidR="007F1DC7" w:rsidRPr="009C5A19">
              <w:rPr>
                <w:sz w:val="24"/>
                <w:szCs w:val="24"/>
                <w:lang w:val="fr-FR"/>
              </w:rPr>
              <w:t xml:space="preserve">t de code à cette même </w:t>
            </w:r>
            <w:r w:rsidR="009C5A19">
              <w:rPr>
                <w:sz w:val="24"/>
                <w:szCs w:val="24"/>
                <w:lang w:val="fr-FR"/>
              </w:rPr>
              <w:t>APD</w:t>
            </w:r>
            <w:r w:rsidR="00881F42" w:rsidRPr="009C5A19">
              <w:rPr>
                <w:sz w:val="24"/>
                <w:szCs w:val="24"/>
                <w:lang w:val="fr-FR"/>
              </w:rPr>
              <w:t>.</w:t>
            </w:r>
            <w:r w:rsidR="00881F42" w:rsidRPr="009C5A19">
              <w:rPr>
                <w:sz w:val="24"/>
                <w:lang w:val="fr-FR"/>
              </w:rPr>
              <w:t xml:space="preserve"> </w:t>
            </w:r>
            <w:r w:rsidR="007D3AE3" w:rsidRPr="007D3AE3">
              <w:rPr>
                <w:b/>
                <w:sz w:val="24"/>
                <w:lang w:val="fr-BE"/>
              </w:rPr>
              <w:t>Exception</w:t>
            </w:r>
            <w:r w:rsidR="007D3AE3">
              <w:rPr>
                <w:sz w:val="24"/>
                <w:lang w:val="fr-BE"/>
              </w:rPr>
              <w:t xml:space="preserve"> faite des </w:t>
            </w:r>
            <w:r w:rsidR="007D3AE3" w:rsidRPr="00A06DC4">
              <w:rPr>
                <w:sz w:val="24"/>
                <w:szCs w:val="24"/>
                <w:lang w:val="fr-FR"/>
              </w:rPr>
              <w:t>code</w:t>
            </w:r>
            <w:r w:rsidR="00756D01">
              <w:rPr>
                <w:sz w:val="24"/>
                <w:szCs w:val="24"/>
                <w:lang w:val="fr-FR"/>
              </w:rPr>
              <w:t>s</w:t>
            </w:r>
            <w:r w:rsidR="007D3AE3" w:rsidRPr="00A06DC4">
              <w:rPr>
                <w:sz w:val="24"/>
                <w:szCs w:val="24"/>
                <w:lang w:val="fr-FR"/>
              </w:rPr>
              <w:t xml:space="preserve"> de conduite « publics » qui couvrent des traitements effectués par des autorités et organismes publics</w:t>
            </w:r>
            <w:r w:rsidR="007D3AE3">
              <w:rPr>
                <w:sz w:val="24"/>
                <w:szCs w:val="24"/>
                <w:lang w:val="fr-FR"/>
              </w:rPr>
              <w:t xml:space="preserve"> pour lesquels </w:t>
            </w:r>
            <w:r>
              <w:rPr>
                <w:sz w:val="24"/>
                <w:szCs w:val="24"/>
                <w:lang w:val="fr-FR"/>
              </w:rPr>
              <w:t xml:space="preserve">il n’est pas obligatoire de désigner un organisme de supervision. Vous demeurez toutefois tenus dans </w:t>
            </w:r>
            <w:r w:rsidR="00577421">
              <w:rPr>
                <w:sz w:val="24"/>
                <w:szCs w:val="24"/>
                <w:lang w:val="fr-FR"/>
              </w:rPr>
              <w:t>c</w:t>
            </w:r>
            <w:r>
              <w:rPr>
                <w:sz w:val="24"/>
                <w:szCs w:val="24"/>
                <w:lang w:val="fr-FR"/>
              </w:rPr>
              <w:t>e cas de prévoir des mécanismes de contrôle</w:t>
            </w:r>
            <w:r w:rsidRPr="009C5A19">
              <w:rPr>
                <w:rFonts w:cstheme="minorHAnsi"/>
                <w:szCs w:val="20"/>
                <w:lang w:val="fr-BE"/>
              </w:rPr>
              <w:t xml:space="preserve"> </w:t>
            </w:r>
            <w:r w:rsidRPr="009C5A19">
              <w:rPr>
                <w:rFonts w:cstheme="minorHAnsi"/>
                <w:sz w:val="24"/>
                <w:szCs w:val="20"/>
                <w:lang w:val="fr-BE"/>
              </w:rPr>
              <w:t>visant à assurer la supervision d’un code</w:t>
            </w:r>
            <w:r w:rsidR="009C5A19">
              <w:rPr>
                <w:rFonts w:cstheme="minorHAnsi"/>
                <w:sz w:val="24"/>
                <w:szCs w:val="20"/>
                <w:lang w:val="fr-BE"/>
              </w:rPr>
              <w:t xml:space="preserve"> (voyez le point 4)</w:t>
            </w:r>
            <w:r w:rsidRPr="009C5A19">
              <w:rPr>
                <w:rFonts w:cstheme="minorHAnsi"/>
                <w:sz w:val="24"/>
                <w:szCs w:val="20"/>
                <w:lang w:val="fr-BE"/>
              </w:rPr>
              <w:t>.</w:t>
            </w:r>
          </w:p>
        </w:tc>
        <w:tc>
          <w:tcPr>
            <w:tcW w:w="1111" w:type="dxa"/>
          </w:tcPr>
          <w:p w14:paraId="4E424E96" w14:textId="77777777" w:rsidR="009E422F" w:rsidRPr="00187DB6" w:rsidRDefault="009E422F" w:rsidP="00BB5D7B">
            <w:pPr>
              <w:jc w:val="both"/>
              <w:rPr>
                <w:sz w:val="24"/>
                <w:lang w:val="fr-BE"/>
              </w:rPr>
            </w:pPr>
          </w:p>
        </w:tc>
        <w:tc>
          <w:tcPr>
            <w:tcW w:w="1152" w:type="dxa"/>
          </w:tcPr>
          <w:p w14:paraId="60CDAD1A" w14:textId="77777777" w:rsidR="009E422F" w:rsidRPr="00187DB6" w:rsidRDefault="009E422F" w:rsidP="00BB5D7B">
            <w:pPr>
              <w:jc w:val="both"/>
              <w:rPr>
                <w:sz w:val="24"/>
                <w:lang w:val="fr-BE"/>
              </w:rPr>
            </w:pPr>
          </w:p>
        </w:tc>
      </w:tr>
      <w:tr w:rsidR="009E422F" w:rsidRPr="008F1266" w14:paraId="5666BD3C" w14:textId="77777777" w:rsidTr="009E422F">
        <w:trPr>
          <w:trHeight w:val="764"/>
        </w:trPr>
        <w:tc>
          <w:tcPr>
            <w:tcW w:w="7966" w:type="dxa"/>
          </w:tcPr>
          <w:p w14:paraId="5CA85891" w14:textId="08D4140B" w:rsidR="009E422F" w:rsidRPr="00577421" w:rsidRDefault="00577421" w:rsidP="00577421">
            <w:pPr>
              <w:jc w:val="both"/>
              <w:rPr>
                <w:sz w:val="24"/>
                <w:lang w:val="fr-BE"/>
              </w:rPr>
            </w:pPr>
            <w:r w:rsidRPr="00577421">
              <w:rPr>
                <w:b/>
                <w:sz w:val="24"/>
                <w:lang w:val="fr-BE"/>
              </w:rPr>
              <w:t>4.</w:t>
            </w:r>
            <w:r>
              <w:rPr>
                <w:b/>
                <w:sz w:val="24"/>
                <w:lang w:val="fr-BE"/>
              </w:rPr>
              <w:t xml:space="preserve"> </w:t>
            </w:r>
            <w:r w:rsidR="009E422F" w:rsidRPr="00577421">
              <w:rPr>
                <w:b/>
                <w:sz w:val="24"/>
                <w:lang w:val="fr-BE"/>
              </w:rPr>
              <w:t>Mécanismes de contrôle</w:t>
            </w:r>
            <w:r w:rsidR="009E422F" w:rsidRPr="00577421">
              <w:rPr>
                <w:sz w:val="24"/>
                <w:lang w:val="fr-BE"/>
              </w:rPr>
              <w:t xml:space="preserve">. Le code de conduite </w:t>
            </w:r>
            <w:r w:rsidR="009C5A19" w:rsidRPr="00577421">
              <w:rPr>
                <w:sz w:val="24"/>
                <w:lang w:val="fr-BE"/>
              </w:rPr>
              <w:t>do</w:t>
            </w:r>
            <w:r w:rsidR="00C334C1" w:rsidRPr="00577421">
              <w:rPr>
                <w:sz w:val="24"/>
                <w:lang w:val="fr-BE"/>
              </w:rPr>
              <w:t>i</w:t>
            </w:r>
            <w:r w:rsidR="009C5A19" w:rsidRPr="00577421">
              <w:rPr>
                <w:sz w:val="24"/>
                <w:lang w:val="fr-BE"/>
              </w:rPr>
              <w:t>t contenir</w:t>
            </w:r>
            <w:r w:rsidR="009E422F" w:rsidRPr="00577421">
              <w:rPr>
                <w:sz w:val="24"/>
                <w:lang w:val="fr-BE"/>
              </w:rPr>
              <w:t xml:space="preserve"> </w:t>
            </w:r>
            <w:r w:rsidR="009C5A19" w:rsidRPr="00577421">
              <w:rPr>
                <w:sz w:val="24"/>
                <w:lang w:val="fr-BE"/>
              </w:rPr>
              <w:t>d</w:t>
            </w:r>
            <w:r w:rsidR="009E422F" w:rsidRPr="00577421">
              <w:rPr>
                <w:sz w:val="24"/>
                <w:lang w:val="fr-BE"/>
              </w:rPr>
              <w:t xml:space="preserve">es </w:t>
            </w:r>
            <w:r w:rsidR="009E422F" w:rsidRPr="00577421">
              <w:rPr>
                <w:b/>
                <w:sz w:val="24"/>
                <w:lang w:val="fr-BE"/>
              </w:rPr>
              <w:t>mécanismes permettant de veiller au respect des dispositions du code de conduite</w:t>
            </w:r>
            <w:r w:rsidR="009C5A19" w:rsidRPr="00577421">
              <w:rPr>
                <w:b/>
                <w:sz w:val="24"/>
                <w:lang w:val="fr-BE"/>
              </w:rPr>
              <w:t xml:space="preserve"> par les membres du code</w:t>
            </w:r>
            <w:r w:rsidR="00F104B4" w:rsidRPr="00577421">
              <w:rPr>
                <w:b/>
                <w:sz w:val="24"/>
                <w:lang w:val="fr-BE"/>
              </w:rPr>
              <w:t xml:space="preserve"> (par exemple des mécanismes d’audit</w:t>
            </w:r>
            <w:r w:rsidR="000540E8">
              <w:rPr>
                <w:b/>
                <w:sz w:val="24"/>
                <w:lang w:val="fr-BE"/>
              </w:rPr>
              <w:t xml:space="preserve"> ou des formes de rapportage</w:t>
            </w:r>
            <w:r w:rsidR="00F104B4" w:rsidRPr="00577421">
              <w:rPr>
                <w:b/>
                <w:sz w:val="24"/>
                <w:lang w:val="fr-BE"/>
              </w:rPr>
              <w:t>)</w:t>
            </w:r>
            <w:r w:rsidR="009E422F" w:rsidRPr="00577421">
              <w:rPr>
                <w:b/>
                <w:sz w:val="24"/>
                <w:lang w:val="fr-BE"/>
              </w:rPr>
              <w:t xml:space="preserve"> </w:t>
            </w:r>
          </w:p>
        </w:tc>
        <w:tc>
          <w:tcPr>
            <w:tcW w:w="1111" w:type="dxa"/>
          </w:tcPr>
          <w:p w14:paraId="415A8EC3" w14:textId="77777777" w:rsidR="009E422F" w:rsidRPr="00187DB6" w:rsidRDefault="009E422F" w:rsidP="00BB5D7B">
            <w:pPr>
              <w:jc w:val="both"/>
              <w:rPr>
                <w:sz w:val="24"/>
                <w:lang w:val="fr-BE"/>
              </w:rPr>
            </w:pPr>
          </w:p>
        </w:tc>
        <w:tc>
          <w:tcPr>
            <w:tcW w:w="1152" w:type="dxa"/>
          </w:tcPr>
          <w:p w14:paraId="4A23B1BF" w14:textId="77777777" w:rsidR="009E422F" w:rsidRPr="00187DB6" w:rsidRDefault="009E422F" w:rsidP="00BB5D7B">
            <w:pPr>
              <w:jc w:val="both"/>
              <w:rPr>
                <w:sz w:val="24"/>
                <w:lang w:val="fr-BE"/>
              </w:rPr>
            </w:pPr>
          </w:p>
        </w:tc>
      </w:tr>
      <w:tr w:rsidR="009E422F" w:rsidRPr="008F1266" w14:paraId="5990B3ED" w14:textId="77777777" w:rsidTr="009E422F">
        <w:trPr>
          <w:trHeight w:val="737"/>
        </w:trPr>
        <w:tc>
          <w:tcPr>
            <w:tcW w:w="7966" w:type="dxa"/>
          </w:tcPr>
          <w:p w14:paraId="3E768043" w14:textId="76D964F0" w:rsidR="009E422F" w:rsidRPr="00577421" w:rsidRDefault="00577421" w:rsidP="00577421">
            <w:pPr>
              <w:jc w:val="both"/>
              <w:rPr>
                <w:sz w:val="24"/>
                <w:lang w:val="fr-BE"/>
              </w:rPr>
            </w:pPr>
            <w:r>
              <w:rPr>
                <w:b/>
                <w:sz w:val="24"/>
                <w:lang w:val="fr-BE"/>
              </w:rPr>
              <w:t xml:space="preserve">5.  </w:t>
            </w:r>
            <w:r w:rsidR="009E422F" w:rsidRPr="00577421">
              <w:rPr>
                <w:b/>
                <w:sz w:val="24"/>
                <w:lang w:val="fr-BE"/>
              </w:rPr>
              <w:t>Consultation</w:t>
            </w:r>
            <w:r w:rsidR="009E422F" w:rsidRPr="00577421">
              <w:rPr>
                <w:sz w:val="24"/>
                <w:lang w:val="fr-BE"/>
              </w:rPr>
              <w:t xml:space="preserve">. L’association qui soumet le code de conduite </w:t>
            </w:r>
            <w:r w:rsidR="0067265B" w:rsidRPr="00577421">
              <w:rPr>
                <w:sz w:val="24"/>
                <w:lang w:val="fr-BE"/>
              </w:rPr>
              <w:t xml:space="preserve">peut démontrer qu’elle a </w:t>
            </w:r>
            <w:r w:rsidR="009E422F" w:rsidRPr="00577421">
              <w:rPr>
                <w:sz w:val="24"/>
                <w:lang w:val="fr-BE"/>
              </w:rPr>
              <w:t xml:space="preserve">consulté les parties intéressées (personnes concernées, membres du code de conduite etc…) et tenu compte de leurs observations. </w:t>
            </w:r>
          </w:p>
          <w:p w14:paraId="63235F88" w14:textId="77777777" w:rsidR="009E422F" w:rsidRPr="00577421" w:rsidRDefault="009E422F" w:rsidP="00577421">
            <w:pPr>
              <w:jc w:val="both"/>
              <w:rPr>
                <w:sz w:val="24"/>
                <w:lang w:val="fr-BE"/>
              </w:rPr>
            </w:pPr>
            <w:r w:rsidRPr="00577421">
              <w:rPr>
                <w:sz w:val="24"/>
                <w:lang w:val="fr-BE"/>
              </w:rPr>
              <w:t xml:space="preserve">Si l’association n’a pas consulté les parties prenantes, l’absence de consultation est justifiée.  </w:t>
            </w:r>
          </w:p>
        </w:tc>
        <w:tc>
          <w:tcPr>
            <w:tcW w:w="1111" w:type="dxa"/>
          </w:tcPr>
          <w:p w14:paraId="5F14D266" w14:textId="77777777" w:rsidR="009E422F" w:rsidRPr="00187DB6" w:rsidRDefault="009E422F" w:rsidP="00BB5D7B">
            <w:pPr>
              <w:jc w:val="both"/>
              <w:rPr>
                <w:sz w:val="24"/>
                <w:lang w:val="fr-BE"/>
              </w:rPr>
            </w:pPr>
          </w:p>
        </w:tc>
        <w:tc>
          <w:tcPr>
            <w:tcW w:w="1152" w:type="dxa"/>
          </w:tcPr>
          <w:p w14:paraId="3CD885C5" w14:textId="77777777" w:rsidR="009E422F" w:rsidRPr="00187DB6" w:rsidRDefault="009E422F" w:rsidP="00BB5D7B">
            <w:pPr>
              <w:jc w:val="both"/>
              <w:rPr>
                <w:sz w:val="24"/>
                <w:lang w:val="fr-BE"/>
              </w:rPr>
            </w:pPr>
          </w:p>
        </w:tc>
      </w:tr>
      <w:tr w:rsidR="009E422F" w:rsidRPr="008F1266" w14:paraId="2EF5B5F3" w14:textId="77777777" w:rsidTr="009E422F">
        <w:trPr>
          <w:trHeight w:val="737"/>
        </w:trPr>
        <w:tc>
          <w:tcPr>
            <w:tcW w:w="7966" w:type="dxa"/>
          </w:tcPr>
          <w:p w14:paraId="1F537161" w14:textId="753A19C2" w:rsidR="009E422F" w:rsidRPr="00577421" w:rsidRDefault="00577421" w:rsidP="00577421">
            <w:pPr>
              <w:jc w:val="both"/>
              <w:rPr>
                <w:sz w:val="24"/>
                <w:lang w:val="fr-BE"/>
              </w:rPr>
            </w:pPr>
            <w:r>
              <w:rPr>
                <w:b/>
                <w:sz w:val="24"/>
                <w:lang w:val="fr-BE"/>
              </w:rPr>
              <w:t>6.</w:t>
            </w:r>
            <w:r w:rsidR="009E422F" w:rsidRPr="00577421">
              <w:rPr>
                <w:b/>
                <w:sz w:val="24"/>
                <w:lang w:val="fr-BE"/>
              </w:rPr>
              <w:t>Législation nationale</w:t>
            </w:r>
            <w:r w:rsidR="009E422F" w:rsidRPr="00577421">
              <w:rPr>
                <w:sz w:val="24"/>
                <w:lang w:val="fr-BE"/>
              </w:rPr>
              <w:t>. L’association</w:t>
            </w:r>
            <w:r w:rsidRPr="00577421">
              <w:rPr>
                <w:sz w:val="24"/>
                <w:lang w:val="fr-BE"/>
              </w:rPr>
              <w:t xml:space="preserve"> qui soumet le code de conduite </w:t>
            </w:r>
            <w:r w:rsidR="009E422F" w:rsidRPr="00577421">
              <w:rPr>
                <w:sz w:val="24"/>
                <w:lang w:val="fr-BE"/>
              </w:rPr>
              <w:t xml:space="preserve">confirme que </w:t>
            </w:r>
            <w:r w:rsidR="009E422F" w:rsidRPr="00577421">
              <w:rPr>
                <w:b/>
                <w:sz w:val="24"/>
                <w:lang w:val="fr-BE"/>
              </w:rPr>
              <w:t>le code est conforme à la législation nationale</w:t>
            </w:r>
            <w:r w:rsidR="009E422F" w:rsidRPr="00577421">
              <w:rPr>
                <w:sz w:val="24"/>
                <w:lang w:val="fr-BE"/>
              </w:rPr>
              <w:t xml:space="preserve"> des pays dans le(s)quel(s) le code de conduite s’applique(en matière de protection des données mais également relative au(x) secteur(s) d’activité spécifique(s) régulé(s) par le code de conduite)</w:t>
            </w:r>
          </w:p>
        </w:tc>
        <w:tc>
          <w:tcPr>
            <w:tcW w:w="1111" w:type="dxa"/>
          </w:tcPr>
          <w:p w14:paraId="5F314764" w14:textId="77777777" w:rsidR="009E422F" w:rsidRPr="00187DB6" w:rsidRDefault="009E422F" w:rsidP="00BB5D7B">
            <w:pPr>
              <w:jc w:val="both"/>
              <w:rPr>
                <w:sz w:val="24"/>
                <w:lang w:val="fr-BE"/>
              </w:rPr>
            </w:pPr>
          </w:p>
        </w:tc>
        <w:tc>
          <w:tcPr>
            <w:tcW w:w="1152" w:type="dxa"/>
          </w:tcPr>
          <w:p w14:paraId="008CA72A" w14:textId="77777777" w:rsidR="009E422F" w:rsidRPr="00187DB6" w:rsidRDefault="009E422F" w:rsidP="00BB5D7B">
            <w:pPr>
              <w:jc w:val="both"/>
              <w:rPr>
                <w:sz w:val="24"/>
                <w:lang w:val="fr-BE"/>
              </w:rPr>
            </w:pPr>
          </w:p>
        </w:tc>
      </w:tr>
    </w:tbl>
    <w:p w14:paraId="2351EDE4" w14:textId="77777777" w:rsidR="00136EA6" w:rsidRPr="00A577E6" w:rsidRDefault="00136EA6" w:rsidP="00A577E6">
      <w:pPr>
        <w:tabs>
          <w:tab w:val="left" w:pos="1050"/>
        </w:tabs>
        <w:rPr>
          <w:lang w:val="fr-BE"/>
        </w:rPr>
      </w:pPr>
    </w:p>
    <w:sectPr w:rsidR="00136EA6" w:rsidRPr="00A577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3A1F7" w14:textId="77777777" w:rsidR="00E91E4F" w:rsidRDefault="00E91E4F" w:rsidP="00993916">
      <w:pPr>
        <w:spacing w:after="0" w:line="240" w:lineRule="auto"/>
      </w:pPr>
      <w:r>
        <w:separator/>
      </w:r>
    </w:p>
  </w:endnote>
  <w:endnote w:type="continuationSeparator" w:id="0">
    <w:p w14:paraId="2FAF0665" w14:textId="77777777" w:rsidR="00E91E4F" w:rsidRDefault="00E91E4F" w:rsidP="0099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A914A" w14:textId="77777777" w:rsidR="00E91E4F" w:rsidRDefault="00E91E4F" w:rsidP="00993916">
      <w:pPr>
        <w:spacing w:after="0" w:line="240" w:lineRule="auto"/>
      </w:pPr>
      <w:r>
        <w:separator/>
      </w:r>
    </w:p>
  </w:footnote>
  <w:footnote w:type="continuationSeparator" w:id="0">
    <w:p w14:paraId="6450A374" w14:textId="77777777" w:rsidR="00E91E4F" w:rsidRDefault="00E91E4F" w:rsidP="00993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1AC"/>
    <w:multiLevelType w:val="hybridMultilevel"/>
    <w:tmpl w:val="EBB4F968"/>
    <w:lvl w:ilvl="0" w:tplc="BE0A2BFC">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E03B3E"/>
    <w:multiLevelType w:val="hybridMultilevel"/>
    <w:tmpl w:val="36D60F4A"/>
    <w:lvl w:ilvl="0" w:tplc="081A1056">
      <w:start w:val="1"/>
      <w:numFmt w:val="decimal"/>
      <w:lvlText w:val="%1."/>
      <w:lvlJc w:val="left"/>
      <w:pPr>
        <w:ind w:left="360" w:hanging="360"/>
      </w:pPr>
      <w:rPr>
        <w:rFonts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DA77DD0"/>
    <w:multiLevelType w:val="hybridMultilevel"/>
    <w:tmpl w:val="6824CA20"/>
    <w:lvl w:ilvl="0" w:tplc="8A16F270">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45C2618"/>
    <w:multiLevelType w:val="hybridMultilevel"/>
    <w:tmpl w:val="46CC81BC"/>
    <w:lvl w:ilvl="0" w:tplc="E318C6EE">
      <w:start w:val="6"/>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DC1527C"/>
    <w:multiLevelType w:val="hybridMultilevel"/>
    <w:tmpl w:val="85F6D29C"/>
    <w:lvl w:ilvl="0" w:tplc="BB2875DA">
      <w:start w:val="6"/>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03473B6"/>
    <w:multiLevelType w:val="hybridMultilevel"/>
    <w:tmpl w:val="267CCD52"/>
    <w:lvl w:ilvl="0" w:tplc="697ACF38">
      <w:start w:val="9"/>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A6"/>
    <w:rsid w:val="00040589"/>
    <w:rsid w:val="000540E8"/>
    <w:rsid w:val="000E6E9A"/>
    <w:rsid w:val="00126762"/>
    <w:rsid w:val="00136EA6"/>
    <w:rsid w:val="0018491D"/>
    <w:rsid w:val="00187DB6"/>
    <w:rsid w:val="001D3D75"/>
    <w:rsid w:val="00203ABF"/>
    <w:rsid w:val="0023633A"/>
    <w:rsid w:val="00280354"/>
    <w:rsid w:val="002808DD"/>
    <w:rsid w:val="00297591"/>
    <w:rsid w:val="002D2E30"/>
    <w:rsid w:val="002D49B3"/>
    <w:rsid w:val="00300BD4"/>
    <w:rsid w:val="003B593B"/>
    <w:rsid w:val="003E12C9"/>
    <w:rsid w:val="0046367A"/>
    <w:rsid w:val="00465702"/>
    <w:rsid w:val="00490A39"/>
    <w:rsid w:val="00491C06"/>
    <w:rsid w:val="0049352E"/>
    <w:rsid w:val="004E2736"/>
    <w:rsid w:val="005161F5"/>
    <w:rsid w:val="00553312"/>
    <w:rsid w:val="00554D0D"/>
    <w:rsid w:val="00577421"/>
    <w:rsid w:val="00587DC7"/>
    <w:rsid w:val="005A6BF2"/>
    <w:rsid w:val="005D10B0"/>
    <w:rsid w:val="005F1C12"/>
    <w:rsid w:val="00655A5A"/>
    <w:rsid w:val="0067259C"/>
    <w:rsid w:val="0067265B"/>
    <w:rsid w:val="006A030D"/>
    <w:rsid w:val="006D68F9"/>
    <w:rsid w:val="00724088"/>
    <w:rsid w:val="007553DE"/>
    <w:rsid w:val="00756D01"/>
    <w:rsid w:val="00790A08"/>
    <w:rsid w:val="007D3AE3"/>
    <w:rsid w:val="007F1DC7"/>
    <w:rsid w:val="00822D80"/>
    <w:rsid w:val="008277A9"/>
    <w:rsid w:val="00835A55"/>
    <w:rsid w:val="00881F42"/>
    <w:rsid w:val="008F1107"/>
    <w:rsid w:val="008F1266"/>
    <w:rsid w:val="0090254D"/>
    <w:rsid w:val="00985B8B"/>
    <w:rsid w:val="00993916"/>
    <w:rsid w:val="009966F9"/>
    <w:rsid w:val="009C5A19"/>
    <w:rsid w:val="009E1C8F"/>
    <w:rsid w:val="009E422F"/>
    <w:rsid w:val="009E5002"/>
    <w:rsid w:val="009F51D7"/>
    <w:rsid w:val="00A13A92"/>
    <w:rsid w:val="00A2711C"/>
    <w:rsid w:val="00A33459"/>
    <w:rsid w:val="00A577E6"/>
    <w:rsid w:val="00AA6FC5"/>
    <w:rsid w:val="00B24F01"/>
    <w:rsid w:val="00BB5D7B"/>
    <w:rsid w:val="00C11BF2"/>
    <w:rsid w:val="00C334C1"/>
    <w:rsid w:val="00C66180"/>
    <w:rsid w:val="00C81240"/>
    <w:rsid w:val="00CA5B36"/>
    <w:rsid w:val="00CC5112"/>
    <w:rsid w:val="00D04447"/>
    <w:rsid w:val="00D1659D"/>
    <w:rsid w:val="00D33AF5"/>
    <w:rsid w:val="00DA7EEB"/>
    <w:rsid w:val="00DE156C"/>
    <w:rsid w:val="00DE72C5"/>
    <w:rsid w:val="00E12285"/>
    <w:rsid w:val="00E145F0"/>
    <w:rsid w:val="00E53A40"/>
    <w:rsid w:val="00E8182E"/>
    <w:rsid w:val="00E84D8B"/>
    <w:rsid w:val="00E91E4F"/>
    <w:rsid w:val="00EC6D74"/>
    <w:rsid w:val="00ED3CC9"/>
    <w:rsid w:val="00F02514"/>
    <w:rsid w:val="00F0746D"/>
    <w:rsid w:val="00F104B4"/>
    <w:rsid w:val="00FF70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B681A3"/>
  <w15:chartTrackingRefBased/>
  <w15:docId w15:val="{189933CB-46A4-409A-9DB7-67D388F2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6D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EA6"/>
    <w:pPr>
      <w:ind w:left="720"/>
      <w:contextualSpacing/>
    </w:pPr>
  </w:style>
  <w:style w:type="paragraph" w:styleId="BalloonText">
    <w:name w:val="Balloon Text"/>
    <w:basedOn w:val="Normal"/>
    <w:link w:val="BalloonTextChar"/>
    <w:uiPriority w:val="99"/>
    <w:semiHidden/>
    <w:unhideWhenUsed/>
    <w:rsid w:val="00BB5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D7B"/>
    <w:rPr>
      <w:rFonts w:ascii="Segoe UI" w:hAnsi="Segoe UI" w:cs="Segoe UI"/>
      <w:sz w:val="18"/>
      <w:szCs w:val="18"/>
    </w:rPr>
  </w:style>
  <w:style w:type="paragraph" w:styleId="FootnoteText">
    <w:name w:val="footnote text"/>
    <w:basedOn w:val="Normal"/>
    <w:link w:val="FootnoteTextChar"/>
    <w:uiPriority w:val="99"/>
    <w:semiHidden/>
    <w:unhideWhenUsed/>
    <w:rsid w:val="00993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916"/>
    <w:rPr>
      <w:sz w:val="20"/>
      <w:szCs w:val="20"/>
    </w:rPr>
  </w:style>
  <w:style w:type="character" w:styleId="FootnoteReference">
    <w:name w:val="footnote reference"/>
    <w:basedOn w:val="DefaultParagraphFont"/>
    <w:uiPriority w:val="99"/>
    <w:semiHidden/>
    <w:unhideWhenUsed/>
    <w:rsid w:val="00993916"/>
    <w:rPr>
      <w:vertAlign w:val="superscript"/>
    </w:rPr>
  </w:style>
  <w:style w:type="character" w:styleId="Hyperlink">
    <w:name w:val="Hyperlink"/>
    <w:basedOn w:val="DefaultParagraphFont"/>
    <w:uiPriority w:val="99"/>
    <w:unhideWhenUsed/>
    <w:rsid w:val="00993916"/>
    <w:rPr>
      <w:color w:val="0563C1" w:themeColor="hyperlink"/>
      <w:u w:val="single"/>
    </w:rPr>
  </w:style>
  <w:style w:type="paragraph" w:styleId="Header">
    <w:name w:val="header"/>
    <w:basedOn w:val="Normal"/>
    <w:link w:val="HeaderChar"/>
    <w:uiPriority w:val="99"/>
    <w:unhideWhenUsed/>
    <w:rsid w:val="00A577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77E6"/>
  </w:style>
  <w:style w:type="paragraph" w:styleId="Footer">
    <w:name w:val="footer"/>
    <w:basedOn w:val="Normal"/>
    <w:link w:val="FooterChar"/>
    <w:uiPriority w:val="99"/>
    <w:unhideWhenUsed/>
    <w:rsid w:val="00A577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77E6"/>
  </w:style>
  <w:style w:type="character" w:styleId="CommentReference">
    <w:name w:val="annotation reference"/>
    <w:basedOn w:val="DefaultParagraphFont"/>
    <w:uiPriority w:val="99"/>
    <w:semiHidden/>
    <w:unhideWhenUsed/>
    <w:rsid w:val="0067259C"/>
    <w:rPr>
      <w:sz w:val="16"/>
      <w:szCs w:val="16"/>
    </w:rPr>
  </w:style>
  <w:style w:type="paragraph" w:styleId="CommentText">
    <w:name w:val="annotation text"/>
    <w:basedOn w:val="Normal"/>
    <w:link w:val="CommentTextChar"/>
    <w:uiPriority w:val="99"/>
    <w:semiHidden/>
    <w:unhideWhenUsed/>
    <w:rsid w:val="0067259C"/>
    <w:pPr>
      <w:spacing w:line="240" w:lineRule="auto"/>
    </w:pPr>
    <w:rPr>
      <w:sz w:val="20"/>
      <w:szCs w:val="20"/>
    </w:rPr>
  </w:style>
  <w:style w:type="character" w:customStyle="1" w:styleId="CommentTextChar">
    <w:name w:val="Comment Text Char"/>
    <w:basedOn w:val="DefaultParagraphFont"/>
    <w:link w:val="CommentText"/>
    <w:uiPriority w:val="99"/>
    <w:semiHidden/>
    <w:rsid w:val="0067259C"/>
    <w:rPr>
      <w:sz w:val="20"/>
      <w:szCs w:val="20"/>
    </w:rPr>
  </w:style>
  <w:style w:type="paragraph" w:styleId="CommentSubject">
    <w:name w:val="annotation subject"/>
    <w:basedOn w:val="CommentText"/>
    <w:next w:val="CommentText"/>
    <w:link w:val="CommentSubjectChar"/>
    <w:uiPriority w:val="99"/>
    <w:semiHidden/>
    <w:unhideWhenUsed/>
    <w:rsid w:val="0067259C"/>
    <w:rPr>
      <w:b/>
      <w:bCs/>
    </w:rPr>
  </w:style>
  <w:style w:type="character" w:customStyle="1" w:styleId="CommentSubjectChar">
    <w:name w:val="Comment Subject Char"/>
    <w:basedOn w:val="CommentTextChar"/>
    <w:link w:val="CommentSubject"/>
    <w:uiPriority w:val="99"/>
    <w:semiHidden/>
    <w:rsid w:val="0067259C"/>
    <w:rPr>
      <w:b/>
      <w:bCs/>
      <w:sz w:val="20"/>
      <w:szCs w:val="20"/>
    </w:rPr>
  </w:style>
  <w:style w:type="character" w:customStyle="1" w:styleId="Heading1Char">
    <w:name w:val="Heading 1 Char"/>
    <w:basedOn w:val="DefaultParagraphFont"/>
    <w:link w:val="Heading1"/>
    <w:uiPriority w:val="9"/>
    <w:rsid w:val="00EC6D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riteprotectiondonnees.be/professionnel/rgpd-/codes-de-conduite-et-organisme-de-supervi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utoriteprotectiondonnees.be/professionnel/actions/accreditation-dun-organisme-de-supervision-dun-code-de-conduite" TargetMode="External"/><Relationship Id="rId4" Type="http://schemas.openxmlformats.org/officeDocument/2006/relationships/settings" Target="settings.xml"/><Relationship Id="rId9" Type="http://schemas.openxmlformats.org/officeDocument/2006/relationships/hyperlink" Target="https://edpb.europa.eu/sites/edpb/files/files/file1/edpb_guidelines_201901_v2.0_codesofconduct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3755-E48B-4EF7-B0C6-AC7C278F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672</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CBPL-CPVP</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 Antoine</dc:creator>
  <cp:keywords/>
  <dc:description/>
  <cp:lastModifiedBy>Waeterinckx Aurelie</cp:lastModifiedBy>
  <cp:revision>5</cp:revision>
  <cp:lastPrinted>2020-12-03T14:28:00Z</cp:lastPrinted>
  <dcterms:created xsi:type="dcterms:W3CDTF">2020-12-03T14:29:00Z</dcterms:created>
  <dcterms:modified xsi:type="dcterms:W3CDTF">2020-12-03T14:48:00Z</dcterms:modified>
</cp:coreProperties>
</file>